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7135EC" w:rsidRDefault="007135EC" w:rsidP="007135EC">
      <w:pPr>
        <w:jc w:val="center"/>
      </w:pPr>
      <w:r>
        <w:rPr>
          <w:rFonts w:ascii="Times New Roman" w:hAnsi="Times New Roman" w:cs="Times New Roman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135EC" w:rsidRDefault="007135EC" w:rsidP="007135E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EC" w:rsidRDefault="007135EC" w:rsidP="007135EC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7135EC" w:rsidTr="007135E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7135EC" w:rsidRDefault="007135E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CAPAIAN PEMBELAJARAN (CP)</w:t>
            </w:r>
          </w:p>
          <w:p w:rsidR="007135EC" w:rsidRDefault="007135E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7135EC" w:rsidTr="007135E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135EC" w:rsidRDefault="007135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135EC" w:rsidRDefault="007135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135EC" w:rsidRDefault="007135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7135EC" w:rsidRDefault="007135EC" w:rsidP="007135E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Rupa</w:t>
            </w:r>
            <w:proofErr w:type="spellEnd"/>
          </w:p>
          <w:p w:rsidR="007135EC" w:rsidRDefault="007135EC" w:rsidP="002C7CAB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2C7C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IX</w:t>
            </w:r>
            <w:bookmarkStart w:id="0" w:name="_GoBack"/>
            <w:bookmarkEnd w:id="0"/>
            <w:r w:rsidR="00B824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 (</w:t>
            </w:r>
            <w:r w:rsidR="002C7C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7135EC" w:rsidRDefault="007135E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7135EC" w:rsidRDefault="007135E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135EC" w:rsidRDefault="007135EC" w:rsidP="007135E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135EC" w:rsidRDefault="007135EC" w:rsidP="007135E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135EC" w:rsidRPr="000B0F32" w:rsidRDefault="007135EC" w:rsidP="007135EC">
      <w:pPr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lastRenderedPageBreak/>
        <w:t>CAPAIAN PEMBELAJARAN</w:t>
      </w:r>
    </w:p>
    <w:p w:rsidR="007135EC" w:rsidRPr="000B0F32" w:rsidRDefault="007135EC" w:rsidP="007135EC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>PELAJARAN :</w:t>
      </w:r>
      <w:proofErr w:type="gramEnd"/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SENI RUPA</w:t>
      </w:r>
    </w:p>
    <w:p w:rsidR="007135EC" w:rsidRDefault="007135EC" w:rsidP="007135EC">
      <w:pPr>
        <w:spacing w:before="60"/>
        <w:jc w:val="center"/>
        <w:rPr>
          <w:rFonts w:asciiTheme="majorBidi" w:eastAsia="Bookman Old Style" w:hAnsiTheme="majorBidi" w:cstheme="majorBidi"/>
          <w:b/>
          <w:bCs/>
          <w:sz w:val="24"/>
          <w:szCs w:val="24"/>
          <w:lang w:val="en-ID"/>
        </w:rPr>
      </w:pP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 xml:space="preserve">(Keputusan BSKAP </w:t>
      </w:r>
      <w:r w:rsidRPr="000B0F32">
        <w:rPr>
          <w:rStyle w:val="fontstyle01"/>
          <w:rFonts w:asciiTheme="majorBidi" w:hAnsiTheme="majorBidi" w:cstheme="majorBidi"/>
        </w:rPr>
        <w:t>NOMOR 046/H/KR/2025</w:t>
      </w:r>
      <w:r w:rsidRPr="000B0F32">
        <w:rPr>
          <w:rFonts w:asciiTheme="majorBidi" w:eastAsia="Bookman Old Style" w:hAnsiTheme="majorBidi" w:cstheme="majorBidi"/>
          <w:b/>
          <w:bCs/>
          <w:sz w:val="24"/>
          <w:szCs w:val="24"/>
          <w:lang w:val="id-ID"/>
        </w:rPr>
        <w:t>)</w:t>
      </w:r>
    </w:p>
    <w:p w:rsidR="007135EC" w:rsidRDefault="007135EC" w:rsidP="007135EC">
      <w:pP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8426C5" w:rsidRPr="007135EC" w:rsidRDefault="00E07432" w:rsidP="007135EC">
      <w:pPr>
        <w:pStyle w:val="ListParagraph"/>
        <w:numPr>
          <w:ilvl w:val="0"/>
          <w:numId w:val="4"/>
        </w:numP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Rasional</w:t>
      </w:r>
      <w:proofErr w:type="spellEnd"/>
    </w:p>
    <w:p w:rsidR="008426C5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turut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dimensi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profil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lulusan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(1)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keimanan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ketakwaan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Tuhan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Maha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Esa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(2)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kewargaan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penalaran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kritis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(4)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(5)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kolaborasi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(6)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kemandirian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(7)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kesehatan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(8)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komunikasi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umum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penting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membangun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meregulasi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sifat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mencintai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keindahan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menghargai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menjunjung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perdamaian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7135EC" w:rsidRP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426C5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mendalam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belajar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dimana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mereka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memahami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mengaplikasi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berproses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praktik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pedagogis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kemitraan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digital.</w:t>
      </w:r>
      <w:proofErr w:type="gramEnd"/>
    </w:p>
    <w:p w:rsidR="007135EC" w:rsidRP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426C5" w:rsidRPr="007135EC" w:rsidRDefault="00E07432" w:rsidP="007135E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Mata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bertujuan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mampu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426C5" w:rsidRPr="007135EC" w:rsidRDefault="00E07432" w:rsidP="00713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kepekaan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persoalan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menemukan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solusi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menanggapi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mengatasi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8426C5" w:rsidRPr="007135EC" w:rsidRDefault="00E07432" w:rsidP="00713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mengekspresikan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mengasah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penciptaan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;</w:t>
      </w:r>
    </w:p>
    <w:p w:rsidR="008426C5" w:rsidRPr="007135EC" w:rsidRDefault="00E07432" w:rsidP="00713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memberdayakan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tersedia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sekitarnya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</w:p>
    <w:p w:rsidR="008426C5" w:rsidRPr="007135EC" w:rsidRDefault="00E07432" w:rsidP="00713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menemukan</w:t>
      </w:r>
      <w:proofErr w:type="spellEnd"/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jawaban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masalah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mendapatkan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suatu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hal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beberapa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sudut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pandang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berdampak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</w:t>
      </w:r>
    </w:p>
    <w:p w:rsidR="007135EC" w:rsidRP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0"/>
        <w:jc w:val="both"/>
        <w:rPr>
          <w:rFonts w:asciiTheme="majorBidi" w:hAnsiTheme="majorBidi" w:cstheme="majorBidi"/>
          <w:sz w:val="24"/>
          <w:szCs w:val="24"/>
        </w:rPr>
      </w:pPr>
    </w:p>
    <w:p w:rsidR="008426C5" w:rsidRPr="007135EC" w:rsidRDefault="00E07432" w:rsidP="007135E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Karakteristik</w:t>
      </w:r>
      <w:proofErr w:type="spellEnd"/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Karakteristik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meliputi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426C5" w:rsidRPr="007135EC" w:rsidRDefault="00E07432" w:rsidP="007135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berpusat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menemukan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kreativitas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sesuai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minat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bakat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kecepatan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belajarnya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masing-masing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426C5" w:rsidRPr="007135EC" w:rsidRDefault="00E07432" w:rsidP="007135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berfokus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bermain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menguji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coba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merenungkan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bersimpati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berempati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mencipta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peduli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toleransi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beragam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nilai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proses,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426C5" w:rsidRPr="007135EC" w:rsidRDefault="00E07432" w:rsidP="007135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suasana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menyenangkan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bermakna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relevan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426C5" w:rsidRPr="007135EC" w:rsidRDefault="00E07432" w:rsidP="007135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memperhatikan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keunikan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individu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bersifat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khas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kontekstual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426C5" w:rsidRPr="007135EC" w:rsidRDefault="00E07432" w:rsidP="007135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terhubung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erat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aspek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maupun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bidang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kolaborasi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interdisipliner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426C5" w:rsidRPr="007135EC" w:rsidRDefault="00E07432" w:rsidP="007135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sikap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bertanggung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jawab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menyadari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bahwa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berdampak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</w:t>
      </w:r>
    </w:p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Gambar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bawah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landasan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  <w:r>
        <w:rPr>
          <w:noProof/>
        </w:rPr>
        <w:drawing>
          <wp:inline distT="0" distB="0" distL="0" distR="0" wp14:anchorId="6672B283" wp14:editId="3849C918">
            <wp:extent cx="2419350" cy="2351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Gambar</w:t>
      </w:r>
      <w:proofErr w:type="spellEnd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1.</w:t>
      </w:r>
      <w:proofErr w:type="gramEnd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rupa</w:t>
      </w:r>
      <w:proofErr w:type="spellEnd"/>
    </w:p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426C5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Capaian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lima</w:t>
      </w:r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mandiri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berjalan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beriringan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saling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mempengaruhi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mendukung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mencapai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dituju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berlaku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seluruh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gradasi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kompetensi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semakin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meningkat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fasenya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sebuah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urutan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prasyarat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lainnya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karena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merupakan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taksonomi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Pembelajaran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sangat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memungkinkan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terjadinya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lintas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mengalami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kreatif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olah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proofErr w:type="gram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pengalamannya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tersebut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sehingga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terbiasa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berpikir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bekerja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artistik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peluang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memberdayakan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dimilikinya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positif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bagi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dirinya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orang lain.</w:t>
      </w:r>
    </w:p>
    <w:p w:rsidR="007135EC" w:rsidRP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deskripsi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elemen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mata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7135E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3795"/>
        <w:gridCol w:w="5492"/>
      </w:tblGrid>
      <w:tr w:rsidR="008426C5" w:rsidRPr="007135EC" w:rsidTr="007135EC">
        <w:trPr>
          <w:trHeight w:val="510"/>
          <w:tblHeader/>
        </w:trPr>
        <w:tc>
          <w:tcPr>
            <w:tcW w:w="2043" w:type="pct"/>
            <w:vAlign w:val="center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2957" w:type="pct"/>
            <w:vAlign w:val="center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Deskripsi</w:t>
            </w:r>
            <w:proofErr w:type="spellEnd"/>
          </w:p>
        </w:tc>
      </w:tr>
      <w:tr w:rsidR="008426C5" w:rsidRPr="007135EC" w:rsidTr="007135EC">
        <w:tc>
          <w:tcPr>
            <w:tcW w:w="2043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Mengalami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r w:rsidRPr="007135EC">
              <w:rPr>
                <w:rFonts w:asciiTheme="majorBidi" w:eastAsia="Google Sans Text" w:hAnsiTheme="majorBidi" w:cstheme="majorBidi"/>
                <w:bCs/>
                <w:i/>
                <w:iCs/>
                <w:color w:val="1B1C1D"/>
                <w:sz w:val="24"/>
                <w:szCs w:val="24"/>
              </w:rPr>
              <w:t>Experiencing</w:t>
            </w:r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2957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mendefinisikan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di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8426C5" w:rsidRPr="007135EC" w:rsidTr="007135EC">
        <w:tc>
          <w:tcPr>
            <w:tcW w:w="2043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Merefleksikan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r w:rsidRPr="007135EC">
              <w:rPr>
                <w:rFonts w:asciiTheme="majorBidi" w:eastAsia="Google Sans Text" w:hAnsiTheme="majorBidi" w:cstheme="majorBidi"/>
                <w:bCs/>
                <w:i/>
                <w:iCs/>
                <w:color w:val="1B1C1D"/>
                <w:sz w:val="24"/>
                <w:szCs w:val="24"/>
              </w:rPr>
              <w:t>Reflecting</w:t>
            </w:r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2957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mendiskusikan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menerima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umpan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balik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kritis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penciptaan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runtut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terperinci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yang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8426C5" w:rsidRPr="007135EC" w:rsidTr="007135EC">
        <w:tc>
          <w:tcPr>
            <w:tcW w:w="2043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Berpikir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Bekerja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Artistik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r w:rsidRPr="007135EC">
              <w:rPr>
                <w:rFonts w:asciiTheme="majorBidi" w:eastAsia="Google Sans Text" w:hAnsiTheme="majorBidi" w:cstheme="majorBidi"/>
                <w:bCs/>
                <w:i/>
                <w:iCs/>
                <w:color w:val="1B1C1D"/>
                <w:sz w:val="24"/>
                <w:szCs w:val="24"/>
              </w:rPr>
              <w:t>Thinking and Working Artistically</w:t>
            </w:r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2957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rencana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tersedia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keperluannya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berkarya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8426C5" w:rsidRPr="007135EC" w:rsidTr="007135EC">
        <w:tc>
          <w:tcPr>
            <w:tcW w:w="2043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Menciptakan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r w:rsidRPr="007135EC">
              <w:rPr>
                <w:rFonts w:asciiTheme="majorBidi" w:eastAsia="Google Sans Text" w:hAnsiTheme="majorBidi" w:cstheme="majorBidi"/>
                <w:bCs/>
                <w:i/>
                <w:iCs/>
                <w:color w:val="1B1C1D"/>
                <w:sz w:val="24"/>
                <w:szCs w:val="24"/>
              </w:rPr>
              <w:t>Making/Creating</w:t>
            </w:r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2957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dipelajari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menghasilkan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gagasannya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mengambil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inspirasi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luar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dirinya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  <w:tr w:rsidR="008426C5" w:rsidRPr="007135EC" w:rsidTr="007135EC">
        <w:tc>
          <w:tcPr>
            <w:tcW w:w="2043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lastRenderedPageBreak/>
              <w:t>Berdampak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r w:rsidRPr="007135EC">
              <w:rPr>
                <w:rFonts w:asciiTheme="majorBidi" w:eastAsia="Google Sans Text" w:hAnsiTheme="majorBidi" w:cstheme="majorBidi"/>
                <w:bCs/>
                <w:i/>
                <w:iCs/>
                <w:color w:val="1B1C1D"/>
                <w:sz w:val="24"/>
                <w:szCs w:val="24"/>
              </w:rPr>
              <w:t>Impacting</w:t>
            </w:r>
            <w:r w:rsidRPr="007135EC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2957" w:type="pct"/>
          </w:tcPr>
          <w:p w:rsidR="008426C5" w:rsidRPr="007135EC" w:rsidRDefault="00E07432" w:rsidP="00713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meresponnya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7135E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</w:tr>
    </w:tbl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7135EC" w:rsidRDefault="007135EC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8426C5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Capaian</w:t>
      </w:r>
      <w:proofErr w:type="spellEnd"/>
      <w:r w:rsidRPr="007135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 (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Umumnya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VII, VIII,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IX SMP/MTs/Program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Paket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B)</w:t>
      </w:r>
    </w:p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8426C5" w:rsidRPr="007135EC" w:rsidRDefault="00E07432" w:rsidP="007135E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benda-benda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8426C5" w:rsidRPr="007135EC" w:rsidRDefault="00E07432" w:rsidP="007135E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mengapresiasi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sekelas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membandingkan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kosa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8426C5" w:rsidRPr="007135EC" w:rsidRDefault="00E07432" w:rsidP="007135E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Mengaplikasikan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variasi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dimiliki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mengeksplorasi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8426C5" w:rsidRPr="007135EC" w:rsidRDefault="00E07432" w:rsidP="007135E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426C5" w:rsidRPr="007135EC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mempertimbangkan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dipelajari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8426C5" w:rsidRPr="007135EC" w:rsidRDefault="00E07432" w:rsidP="007135E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E07432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7135E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8426C5" w:rsidRDefault="00E07432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7135EC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merespon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135EC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7135EC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135EC" w:rsidTr="007135EC">
        <w:tc>
          <w:tcPr>
            <w:tcW w:w="5437" w:type="dxa"/>
          </w:tcPr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135EC" w:rsidRDefault="007135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135EC" w:rsidRDefault="007135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7135EC" w:rsidRDefault="007135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135EC" w:rsidRDefault="007135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135EC" w:rsidRDefault="007135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7135EC" w:rsidRPr="007135EC" w:rsidRDefault="007135EC" w:rsidP="007135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sectPr w:rsidR="007135EC" w:rsidRPr="007135EC" w:rsidSect="007135E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Google Sans Text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B0C"/>
    <w:multiLevelType w:val="multilevel"/>
    <w:tmpl w:val="0C90323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660C0D"/>
    <w:multiLevelType w:val="multilevel"/>
    <w:tmpl w:val="21D436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49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6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46AF6FA9"/>
    <w:multiLevelType w:val="hybridMultilevel"/>
    <w:tmpl w:val="12303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D428B"/>
    <w:multiLevelType w:val="hybridMultilevel"/>
    <w:tmpl w:val="8506CA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26C5"/>
    <w:rsid w:val="002C7CAB"/>
    <w:rsid w:val="004B6AFF"/>
    <w:rsid w:val="007135EC"/>
    <w:rsid w:val="008426C5"/>
    <w:rsid w:val="00B82414"/>
    <w:rsid w:val="00E0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E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135E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35EC"/>
    <w:pPr>
      <w:ind w:left="720"/>
      <w:contextualSpacing/>
    </w:pPr>
  </w:style>
  <w:style w:type="table" w:styleId="TableGrid">
    <w:name w:val="Table Grid"/>
    <w:basedOn w:val="TableNormal"/>
    <w:uiPriority w:val="59"/>
    <w:rsid w:val="0071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E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135E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35EC"/>
    <w:pPr>
      <w:ind w:left="720"/>
      <w:contextualSpacing/>
    </w:pPr>
  </w:style>
  <w:style w:type="table" w:styleId="TableGrid">
    <w:name w:val="Table Grid"/>
    <w:basedOn w:val="TableNormal"/>
    <w:uiPriority w:val="59"/>
    <w:rsid w:val="0071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2025-07-29T09:43:00Z</dcterms:created>
  <dcterms:modified xsi:type="dcterms:W3CDTF">2025-07-29T10:39:00Z</dcterms:modified>
</cp:coreProperties>
</file>