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6C" w:rsidRDefault="009F406C" w:rsidP="009F406C">
      <w:pPr>
        <w:jc w:val="center"/>
      </w:pPr>
      <w:r>
        <w:rPr>
          <w:rFonts w:ascii="Times New Roman" w:hAnsi="Times New Roman" w:cs="Times New Roman"/>
        </w:rPr>
        <w:t> </w:t>
      </w:r>
      <w:bookmarkStart w:id="0" w:name="_GoBack"/>
      <w:bookmarkEnd w:id="0"/>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color w:val="000000"/>
          <w:sz w:val="24"/>
          <w:szCs w:val="24"/>
        </w:rPr>
        <w:t> </w:t>
      </w:r>
    </w:p>
    <w:p w:rsidR="009F406C" w:rsidRDefault="009F406C" w:rsidP="009F406C">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9F406C" w:rsidRDefault="009F406C" w:rsidP="009F406C">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9F406C" w:rsidTr="009F406C">
        <w:trPr>
          <w:trHeight w:val="596"/>
          <w:jc w:val="center"/>
        </w:trPr>
        <w:tc>
          <w:tcPr>
            <w:tcW w:w="8390" w:type="dxa"/>
            <w:vAlign w:val="center"/>
            <w:hideMark/>
          </w:tcPr>
          <w:p w:rsidR="009F406C" w:rsidRDefault="009F406C">
            <w:pPr>
              <w:spacing w:before="240" w:after="240"/>
              <w:jc w:val="center"/>
            </w:pPr>
            <w:r>
              <w:rPr>
                <w:rFonts w:ascii="Times New Roman" w:hAnsi="Times New Roman" w:cs="Times New Roman"/>
                <w:b/>
                <w:bCs/>
                <w:color w:val="000000"/>
                <w:sz w:val="32"/>
                <w:szCs w:val="32"/>
                <w:lang w:val="en-ID"/>
              </w:rPr>
              <w:t>CAPAIAN PEMBELAJARAN (CP)</w:t>
            </w:r>
          </w:p>
          <w:p w:rsidR="009F406C" w:rsidRDefault="009F406C">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9F406C" w:rsidTr="009F406C">
        <w:trPr>
          <w:trHeight w:val="596"/>
          <w:jc w:val="center"/>
        </w:trPr>
        <w:tc>
          <w:tcPr>
            <w:tcW w:w="8390" w:type="dxa"/>
            <w:tcBorders>
              <w:top w:val="nil"/>
              <w:left w:val="nil"/>
              <w:bottom w:val="double" w:sz="4" w:space="0" w:color="auto"/>
              <w:right w:val="nil"/>
            </w:tcBorders>
            <w:vAlign w:val="center"/>
            <w:hideMark/>
          </w:tcPr>
          <w:p w:rsidR="009F406C" w:rsidRDefault="009F406C">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F406C" w:rsidRDefault="009F406C">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9F406C" w:rsidRDefault="009F406C">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9F406C" w:rsidRDefault="009F406C" w:rsidP="009F406C">
            <w:pPr>
              <w:spacing w:before="120" w:after="120"/>
              <w:ind w:left="3238" w:hanging="3238"/>
              <w:rPr>
                <w:rFonts w:ascii="Times New Roman" w:hAnsi="Times New Roman" w:cs="Times New Roman"/>
                <w:b/>
                <w:bCs/>
                <w:color w:val="000000"/>
                <w:sz w:val="24"/>
                <w:szCs w:val="24"/>
              </w:rPr>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 xml:space="preserve">Matematika </w:t>
            </w:r>
          </w:p>
          <w:p w:rsidR="009F406C" w:rsidRDefault="009F406C">
            <w:pPr>
              <w:spacing w:before="120" w:after="120"/>
              <w:ind w:left="3238" w:hanging="3238"/>
            </w:pPr>
            <w:r>
              <w:rPr>
                <w:rFonts w:ascii="Times New Roman" w:hAnsi="Times New Roman" w:cs="Times New Roman"/>
                <w:b/>
                <w:bCs/>
                <w:color w:val="000000"/>
                <w:sz w:val="24"/>
                <w:szCs w:val="24"/>
              </w:rPr>
              <w:t xml:space="preserve">Fase E, </w:t>
            </w:r>
            <w:r>
              <w:rPr>
                <w:rFonts w:ascii="Times New Roman" w:hAnsi="Times New Roman" w:cs="Times New Roman"/>
                <w:b/>
                <w:bCs/>
                <w:color w:val="000000"/>
                <w:sz w:val="24"/>
                <w:szCs w:val="24"/>
                <w:lang w:val="pt-BR"/>
              </w:rPr>
              <w:t xml:space="preserve">Kelas / Semester      :      </w:t>
            </w:r>
            <w:r w:rsidR="00D2705F">
              <w:rPr>
                <w:rFonts w:ascii="Times New Roman" w:hAnsi="Times New Roman" w:cs="Times New Roman"/>
                <w:b/>
                <w:bCs/>
                <w:color w:val="000000"/>
                <w:sz w:val="24"/>
                <w:szCs w:val="24"/>
                <w:lang w:val="pt-BR"/>
              </w:rPr>
              <w:t>VIII (Delapan</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r>
              <w:rPr>
                <w:rFonts w:ascii="Times New Roman" w:hAnsi="Times New Roman" w:cs="Times New Roman"/>
                <w:b/>
                <w:bCs/>
                <w:color w:val="000000"/>
                <w:sz w:val="24"/>
                <w:szCs w:val="24"/>
                <w:lang w:val="en-ID"/>
              </w:rPr>
              <w:t xml:space="preserve"> &amp; II (Genap)</w:t>
            </w:r>
          </w:p>
          <w:p w:rsidR="009F406C" w:rsidRDefault="009F406C">
            <w:pPr>
              <w:spacing w:before="120" w:after="120"/>
            </w:pPr>
            <w:r>
              <w:rPr>
                <w:rFonts w:ascii="Times New Roman" w:hAnsi="Times New Roman" w:cs="Times New Roman"/>
                <w:b/>
                <w:bCs/>
                <w:color w:val="000000"/>
                <w:sz w:val="24"/>
                <w:szCs w:val="24"/>
                <w:lang w:val="pt-BR"/>
              </w:rPr>
              <w:t> </w:t>
            </w:r>
          </w:p>
          <w:p w:rsidR="009F406C" w:rsidRDefault="009F406C">
            <w:pPr>
              <w:spacing w:before="120" w:after="120"/>
            </w:pPr>
            <w:r>
              <w:rPr>
                <w:rFonts w:ascii="Times New Roman" w:hAnsi="Times New Roman" w:cs="Times New Roman"/>
                <w:b/>
                <w:bCs/>
                <w:color w:val="000000"/>
                <w:sz w:val="24"/>
                <w:szCs w:val="24"/>
              </w:rPr>
              <w:t> </w:t>
            </w:r>
          </w:p>
        </w:tc>
      </w:tr>
    </w:tbl>
    <w:p w:rsidR="009F406C" w:rsidRDefault="009F406C" w:rsidP="009F406C">
      <w:pPr>
        <w:jc w:val="center"/>
      </w:pPr>
      <w:r>
        <w:rPr>
          <w:rFonts w:ascii="Times New Roman" w:hAnsi="Times New Roman" w:cs="Times New Roman"/>
          <w:b/>
          <w:bCs/>
          <w:color w:val="000000"/>
          <w:sz w:val="24"/>
          <w:szCs w:val="24"/>
          <w:lang w:val="id-ID"/>
        </w:rPr>
        <w:t> </w:t>
      </w:r>
    </w:p>
    <w:p w:rsidR="009F406C" w:rsidRDefault="009F406C" w:rsidP="009F406C">
      <w:pPr>
        <w:jc w:val="center"/>
      </w:pPr>
      <w:r>
        <w:rPr>
          <w:rFonts w:ascii="Times New Roman" w:hAnsi="Times New Roman" w:cs="Times New Roman"/>
          <w:b/>
          <w:bCs/>
          <w:color w:val="000000"/>
          <w:sz w:val="24"/>
          <w:szCs w:val="24"/>
          <w:lang w:val="id-ID"/>
        </w:rPr>
        <w:t> </w:t>
      </w:r>
    </w:p>
    <w:p w:rsidR="009F406C" w:rsidRDefault="009F406C" w:rsidP="009F406C">
      <w:pPr>
        <w:pStyle w:val="Heading2"/>
        <w:spacing w:before="0" w:after="0" w:line="276" w:lineRule="auto"/>
        <w:jc w:val="both"/>
      </w:pPr>
      <w:r>
        <w:rPr>
          <w:rFonts w:ascii="Times New Roman" w:hAnsi="Times New Roman" w:cs="Times New Roman"/>
          <w:color w:val="1B1C1D"/>
          <w:sz w:val="24"/>
          <w:szCs w:val="24"/>
        </w:rPr>
        <w:t> </w:t>
      </w:r>
    </w:p>
    <w:p w:rsidR="006F6D79" w:rsidRDefault="006F6D79" w:rsidP="009F406C">
      <w:pPr>
        <w:jc w:val="center"/>
        <w:rPr>
          <w:rFonts w:ascii="Times New Roman" w:hAnsi="Times New Roman" w:cs="Times New Roman"/>
          <w:b/>
          <w:bCs/>
          <w:sz w:val="24"/>
          <w:szCs w:val="24"/>
        </w:rPr>
        <w:sectPr w:rsidR="006F6D79">
          <w:pgSz w:w="12240" w:h="15840"/>
          <w:pgMar w:top="1440" w:right="1440" w:bottom="1440" w:left="1440" w:header="0" w:footer="720" w:gutter="0"/>
          <w:pgNumType w:start="1"/>
          <w:cols w:space="720"/>
        </w:sectPr>
      </w:pPr>
    </w:p>
    <w:p w:rsidR="009F406C" w:rsidRDefault="009F406C" w:rsidP="009F406C">
      <w:pPr>
        <w:jc w:val="center"/>
      </w:pPr>
      <w:r>
        <w:rPr>
          <w:rFonts w:ascii="Times New Roman" w:hAnsi="Times New Roman" w:cs="Times New Roman"/>
          <w:b/>
          <w:bCs/>
          <w:sz w:val="24"/>
          <w:szCs w:val="24"/>
        </w:rPr>
        <w:lastRenderedPageBreak/>
        <w:t>CAPAIAN PEMBELAJARAN</w:t>
      </w:r>
    </w:p>
    <w:p w:rsidR="009F406C" w:rsidRDefault="009F406C" w:rsidP="009F406C">
      <w:pPr>
        <w:spacing w:before="60"/>
        <w:jc w:val="center"/>
      </w:pPr>
      <w:r>
        <w:rPr>
          <w:rFonts w:ascii="Times New Roman" w:hAnsi="Times New Roman" w:cs="Times New Roman"/>
          <w:b/>
          <w:bCs/>
          <w:sz w:val="24"/>
          <w:szCs w:val="24"/>
        </w:rPr>
        <w:t>MATA PELAJARAN : MATEMATIKA</w:t>
      </w:r>
    </w:p>
    <w:p w:rsidR="009F406C" w:rsidRDefault="009F406C" w:rsidP="009F406C">
      <w:pPr>
        <w:spacing w:before="60"/>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BB31D7" w:rsidRPr="00BB31D7" w:rsidRDefault="00BB31D7" w:rsidP="00BB31D7"/>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Rasional</w:t>
      </w: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Matematika merupakan ilmu atau pengetahuan tentang belajar atau berpikir logis yang mendasari perkembangan teknologi modern dan sangat dibutuhkan dalam kehidupan manusia. Matematika berkontribusi terhadap pengembangan dan pemahaman dalam berbagai disiplin ilmu dan menjadi landasan bagi banyak inovasi saat ini maupun memberikan solusi masa depan. Matematika dipelajari bukan hanya untuk dipahami, tetapi juga berperan sebagai alat untuk membangun pemahaman, melatih cara berpikir, dan menyelesaikan masalah dalam kehidupan. Belajar matematika dapat meningkatkan kemampuan murid dalam berpikir logis, analitis, sistematis, kritis, dan kreatif. Kompetensi tersebut diperlukan agar murid memiliki kemampuan memperoleh, mengelola, dan memanfaatkan informasi untuk bertahan hidup pada keadaan yang selalu berubah, penuh dengan ketidakpastian, dan bersifat kompetitif.</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Mata pelajaran Matematika membekali murid dengan pengetahuan dan keterampilan yang diperlukan serta kapasitas untuk berpikir logis, kritis, dan analitis sehingga mereka belajar bernalar secara bertahap untuk memahami konsep, prinsip, dan solusi dalam matematika. Proses ini juga membentuk sikap positif terhadap matematika dan menumbuhkan nilai-nilai seperti kemandirian, ketekunan, ketelitian, rasionalitas, serta kreativitas.</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Dengan demikian, mata pelajaran matematika relevan dan berkontribusi dalam mewujudkan delapan dimensi profil lulusan, di antaranya untuk mengembangkan kompetensi penalaran kritis, kreativitas, kolaborasi, kemandirian, dan komunikasi murid. Materi pembelajaran pada mata pelajaran Matematika di setiap jenjang pendidikan dikemas melalui elemen, domain atau bidang kajian Bilangan, Aljabar, Pengukuran, Geometri, serta Analisis Data dan Peluang.</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Tujuan</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Mata pelajaran Matematika bertujuan untuk membekali murid agar dapat:</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memahami materi pembelajaran matematika berupa fakta, konsep, prinsip, operasi, dan relasi matematis dan mengaplikasikannya secara luwes, akurat, efisien, dan tepat dalam pemecahan masalah matematis (pemahaman matematis dan kecakapan prosedural);</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menggunakan penalaran pada pola dan sifat, melakukan manipulasi matematis dalam membuat generalisasi, menyusun bukti, atau menjelaskan gagasan dan pernyataan matematika (penalaran dan pembuktian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memecahkan masalah yang meliputi kemampuan menyelesaikan model atau menafsirkan solusi yang diperoleh (pemecahan masalah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 xml:space="preserve">mengomunikasikan gagasan dengan simbol, tabel, diagram, atau media lain untuk </w:t>
      </w:r>
      <w:r w:rsidRPr="00BB31D7">
        <w:rPr>
          <w:rFonts w:asciiTheme="majorBidi" w:eastAsia="Google Sans Text" w:hAnsiTheme="majorBidi" w:cstheme="majorBidi"/>
          <w:color w:val="1B1C1D"/>
          <w:sz w:val="24"/>
          <w:szCs w:val="24"/>
        </w:rPr>
        <w:lastRenderedPageBreak/>
        <w:t>memperjelas keadaan atau masalah, serta menyajikan suatu situasi ke dalam simbol atau model matematis (komunikasi dan representasi matematis);</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mengaitkan materi pembelajaran matematika berupa fakta, konsep, prinsip, operasi, dan relasi matematis pada suatu bidang kajian, lintas bidang kajian, lintas bidang ilmu, dan dengan kehidupan (koneksi matematis); dan</w:t>
      </w:r>
    </w:p>
    <w:p w:rsidR="0072017B" w:rsidRPr="00BB31D7" w:rsidRDefault="00BB31D7" w:rsidP="00BB31D7">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color w:val="1B1C1D"/>
          <w:sz w:val="24"/>
          <w:szCs w:val="24"/>
        </w:rPr>
        <w:t>memiliki sikap menghargai kegunaan matematika dalam kehidupan, yaitu memiliki rasa ingin tahu, perhatian, dan minat dalam mempelajari matematika, serta sikap kreatif, sabar, mandiri, tekun, terbuka, tangguh, ulet, dan percaya diri dalam pemecahan masalah (disposisi matematis).</w:t>
      </w:r>
    </w:p>
    <w:p w:rsidR="00BB31D7" w:rsidRDefault="00BB31D7" w:rsidP="00BB31D7">
      <w:pPr>
        <w:pStyle w:val="Heading2"/>
        <w:spacing w:before="0" w:after="0" w:line="276" w:lineRule="auto"/>
        <w:jc w:val="both"/>
        <w:rPr>
          <w:rFonts w:asciiTheme="majorBidi" w:eastAsia="Google Sans" w:hAnsiTheme="majorBidi" w:cstheme="majorBidi"/>
          <w:color w:val="1B1C1D"/>
          <w:sz w:val="24"/>
          <w:szCs w:val="24"/>
        </w:rPr>
      </w:pPr>
    </w:p>
    <w:p w:rsidR="0072017B" w:rsidRPr="00BB31D7" w:rsidRDefault="00BB31D7" w:rsidP="00BB31D7">
      <w:pPr>
        <w:pStyle w:val="Heading2"/>
        <w:numPr>
          <w:ilvl w:val="0"/>
          <w:numId w:val="5"/>
        </w:numPr>
        <w:spacing w:before="0" w:after="0" w:line="276" w:lineRule="auto"/>
        <w:jc w:val="both"/>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t>Karakteristik</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Mata pelajaran Matematika diorganisasikan dalam lingkup lima elemen konten dan lima elemen proses.</w:t>
      </w:r>
    </w:p>
    <w:p w:rsidR="0072017B" w:rsidRPr="00BB31D7" w:rsidRDefault="00BB31D7" w:rsidP="00BB31D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b/>
          <w:color w:val="1B1C1D"/>
          <w:sz w:val="24"/>
          <w:szCs w:val="24"/>
        </w:rPr>
        <w:t>Elemen konten</w:t>
      </w:r>
      <w:r w:rsidRPr="00BB31D7">
        <w:rPr>
          <w:rFonts w:asciiTheme="majorBidi" w:eastAsia="Google Sans Text" w:hAnsiTheme="majorBidi" w:cstheme="majorBidi"/>
          <w:color w:val="1B1C1D"/>
          <w:sz w:val="24"/>
          <w:szCs w:val="24"/>
        </w:rPr>
        <w:t xml:space="preserve"> dalam mata pelajaran Matematika terkait dengan pandangan bahwa matematika sebagai materi pembelajaran (subject matter) yang harus dipahami murid. Pemahaman matematis terkait erat dengan pembentukan alur pemahaman terhadap materi pembelajaran matematika berupa fakta, konsep, prinsip, operasi, dan relasi yang bersifat formal-universal. Elemen dan deskripsi elemen konten mata pelajaran Matematika adalah sebagai berikut.</w:t>
      </w:r>
    </w:p>
    <w:tbl>
      <w:tblPr>
        <w:tblStyle w:val="TableGrid"/>
        <w:tblW w:w="8543" w:type="dxa"/>
        <w:tblInd w:w="817" w:type="dxa"/>
        <w:tblLayout w:type="fixed"/>
        <w:tblLook w:val="0600" w:firstRow="0" w:lastRow="0" w:firstColumn="0" w:lastColumn="0" w:noHBand="1" w:noVBand="1"/>
      </w:tblPr>
      <w:tblGrid>
        <w:gridCol w:w="2410"/>
        <w:gridCol w:w="6133"/>
      </w:tblGrid>
      <w:tr w:rsidR="0072017B" w:rsidRPr="00BB31D7" w:rsidTr="00BB31D7">
        <w:trPr>
          <w:trHeight w:val="454"/>
          <w:tblHeader/>
        </w:trPr>
        <w:tc>
          <w:tcPr>
            <w:tcW w:w="2410" w:type="dxa"/>
            <w:vAlign w:val="center"/>
          </w:tcPr>
          <w:p w:rsidR="0072017B" w:rsidRPr="00BB31D7" w:rsidRDefault="00BB31D7" w:rsidP="00BB31D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Elemen</w:t>
            </w:r>
          </w:p>
        </w:tc>
        <w:tc>
          <w:tcPr>
            <w:tcW w:w="6133" w:type="dxa"/>
            <w:vAlign w:val="center"/>
          </w:tcPr>
          <w:p w:rsidR="0072017B" w:rsidRPr="00BB31D7" w:rsidRDefault="00BB31D7" w:rsidP="00BB31D7">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Deskripsi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Bilangan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Bilangan membahas tentang angka sebagai simbol bilangan, konsep bilangan, operasi hitung bilangan, dan relasi antara berbagai operasi hitung bilangan dalam sub-elemen representasi visual, sifat urutan, dan operasi.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Aljabar</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Aljabar membahas tentang aljabar non-formal dalam bentuk simbol gambar sampai dengan aljabar formal dalam bentuk simbol huruf yang mewakili bilangan tertentu dalam sub-elemen persamaan dan pertidaksamaan, relasi dan pola bilangan, serta rasio dan proporsi.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Pengukuran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Pengukuran membahas tentang besaran-besaran pengukuran, cara mengukur besaran tertentu, dan membuktikan prinsip atau teorema terkait besaran tertentu dalam sub-elemen pengukuran besaran geometris dan non-geometris.</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Geometri</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Bidang kajian Geometri membahas tentang berbagai bentuk bangun datar dan bangun ruang serta ciri-cirinya dalam sub-elemen geometri datar dan geometri ruang.</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Analisis Data dan Peluang</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Bidang kajian Analisis Data dan Peluang membahas tentang pengertian data, jenis-jenis data, pengolahan data dalam berbagai bentuk representasi, dan analisis data kuantitatif </w:t>
            </w:r>
            <w:r w:rsidRPr="00BB31D7">
              <w:rPr>
                <w:rFonts w:asciiTheme="majorBidi" w:eastAsia="Google Sans Text" w:hAnsiTheme="majorBidi" w:cstheme="majorBidi"/>
                <w:color w:val="1B1C1D"/>
                <w:sz w:val="24"/>
                <w:szCs w:val="24"/>
              </w:rPr>
              <w:lastRenderedPageBreak/>
              <w:t>terkait pemusatan dan penyebaran data serta peluang munculnya suatu data atau kejadian tertentu dalam sub-elemen data dan representasinya, serta ketidakpastian dan peluang.</w:t>
            </w:r>
          </w:p>
        </w:tc>
      </w:tr>
    </w:tbl>
    <w:p w:rsidR="00BB31D7" w:rsidRPr="00BB31D7" w:rsidRDefault="00BB31D7" w:rsidP="00BB31D7">
      <w:pPr>
        <w:pBdr>
          <w:top w:val="nil"/>
          <w:left w:val="nil"/>
          <w:bottom w:val="nil"/>
          <w:right w:val="nil"/>
          <w:between w:val="nil"/>
        </w:pBdr>
        <w:spacing w:line="276" w:lineRule="auto"/>
        <w:ind w:left="480"/>
        <w:jc w:val="both"/>
        <w:rPr>
          <w:rFonts w:asciiTheme="majorBidi" w:hAnsiTheme="majorBidi" w:cstheme="majorBidi"/>
          <w:sz w:val="24"/>
          <w:szCs w:val="24"/>
        </w:rPr>
      </w:pPr>
    </w:p>
    <w:p w:rsidR="0072017B" w:rsidRPr="00BB31D7" w:rsidRDefault="00BB31D7" w:rsidP="00BB31D7">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BB31D7">
        <w:rPr>
          <w:rFonts w:asciiTheme="majorBidi" w:eastAsia="Google Sans Text" w:hAnsiTheme="majorBidi" w:cstheme="majorBidi"/>
          <w:b/>
          <w:color w:val="1B1C1D"/>
          <w:sz w:val="24"/>
          <w:szCs w:val="24"/>
        </w:rPr>
        <w:t>Elemen proses</w:t>
      </w:r>
      <w:r w:rsidRPr="00BB31D7">
        <w:rPr>
          <w:rFonts w:asciiTheme="majorBidi" w:eastAsia="Google Sans Text" w:hAnsiTheme="majorBidi" w:cstheme="majorBidi"/>
          <w:color w:val="1B1C1D"/>
          <w:sz w:val="24"/>
          <w:szCs w:val="24"/>
        </w:rPr>
        <w:t xml:space="preserve"> dalam mata pelajaran Matematika, terkait dengan pandangan bahwa matematika sebagai alat konseptual untuk mengkonstruksi dan merekonstruksi materi pembelajaran matematika berupa aktivitas mental dapat mengembangkan kecakapan matematika berikut.</w:t>
      </w:r>
    </w:p>
    <w:tbl>
      <w:tblPr>
        <w:tblStyle w:val="TableGrid"/>
        <w:tblW w:w="8543" w:type="dxa"/>
        <w:tblInd w:w="817" w:type="dxa"/>
        <w:tblLayout w:type="fixed"/>
        <w:tblLook w:val="0600" w:firstRow="0" w:lastRow="0" w:firstColumn="0" w:lastColumn="0" w:noHBand="1" w:noVBand="1"/>
      </w:tblPr>
      <w:tblGrid>
        <w:gridCol w:w="2410"/>
        <w:gridCol w:w="6133"/>
      </w:tblGrid>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Elemen</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Deskripsi</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Penalaran dan Pembuktian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Penalaran terkait dengan proses penggunaan pola hubungan dalam menganalisis situasi untuk menyusun serta menyelidiki praduga. Pembuktian matematis terkait proses membuktikan kebenaran suatu prinsip, rumus, atau teorema tertentu.</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Pemecahan Masalah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Pemecahan masalah matematis terkait dengan proses penyelesaian masalah matematis atau masalah sehari-hari dengan cara menerapkan dan mengadaptasi berbagai strategi yang efektif. Proses ini juga mencakup konstruksi dan rekonstruksi pemahaman matematika melalui pemecahan masalah.</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Komunikasi</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Komunikasi matematis terkait dengan pembentukan alur pemahaman materi pembelajaran matematika melalui cara mengomunikasikan pemikiran matematis menggunakan bahasa matematis yang tepat. Komunikasi matematis juga mencakup proses menganalisis dan mengevaluasi pemikiran matematis orang lain.</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Representasi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Representasi matematis terkait dengan proses membuat dan menggunakan simbol, tabel, diagram, atau bentuk lain untuk mengomunikasikan gagasan dan pemodelan matematika. Proses ini juga mencakup fleksibilitas dalam mengubah dari satu bentuk representasi ke bentuk representasi lainnya, dan memilih representasi yang paling sesuai untuk memecahkan masalah.</w:t>
            </w:r>
          </w:p>
        </w:tc>
      </w:tr>
      <w:tr w:rsidR="0072017B" w:rsidRPr="00BB31D7" w:rsidTr="00BB31D7">
        <w:tc>
          <w:tcPr>
            <w:tcW w:w="2410"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BB31D7">
              <w:rPr>
                <w:rFonts w:asciiTheme="majorBidi" w:eastAsia="Google Sans Text" w:hAnsiTheme="majorBidi" w:cstheme="majorBidi"/>
                <w:b/>
                <w:color w:val="1B1C1D"/>
                <w:sz w:val="24"/>
                <w:szCs w:val="24"/>
              </w:rPr>
              <w:t>Koneksi Matematis</w:t>
            </w:r>
          </w:p>
        </w:tc>
        <w:tc>
          <w:tcPr>
            <w:tcW w:w="6133" w:type="dxa"/>
          </w:tcPr>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Koneksi matematis terkait dengan proses mengaitkan antara materi pembelajaran matematika pada suatu bidang kajian, lintas bidang kajian, lintas bidang ilmu, dan dengan kehidupan.</w:t>
            </w:r>
          </w:p>
        </w:tc>
      </w:tr>
    </w:tbl>
    <w:p w:rsidR="00BB31D7" w:rsidRDefault="00BB31D7" w:rsidP="00BB31D7">
      <w:pPr>
        <w:pStyle w:val="Heading2"/>
        <w:spacing w:before="0" w:after="0" w:line="276" w:lineRule="auto"/>
        <w:jc w:val="both"/>
        <w:rPr>
          <w:rFonts w:asciiTheme="majorBidi" w:eastAsia="Google Sans" w:hAnsiTheme="majorBidi" w:cstheme="majorBidi"/>
          <w:color w:val="1B1C1D"/>
          <w:sz w:val="24"/>
          <w:szCs w:val="24"/>
        </w:rPr>
        <w:sectPr w:rsidR="00BB31D7">
          <w:pgSz w:w="12240" w:h="15840"/>
          <w:pgMar w:top="1440" w:right="1440" w:bottom="1440" w:left="1440" w:header="0" w:footer="720" w:gutter="0"/>
          <w:pgNumType w:start="1"/>
          <w:cols w:space="720"/>
        </w:sectPr>
      </w:pPr>
    </w:p>
    <w:p w:rsidR="0072017B" w:rsidRPr="00BB31D7" w:rsidRDefault="00BB31D7" w:rsidP="00BB31D7">
      <w:pPr>
        <w:pStyle w:val="Heading2"/>
        <w:spacing w:before="0" w:after="0" w:line="276" w:lineRule="auto"/>
        <w:jc w:val="center"/>
        <w:rPr>
          <w:rFonts w:asciiTheme="majorBidi" w:eastAsia="Google Sans" w:hAnsiTheme="majorBidi" w:cstheme="majorBidi"/>
          <w:color w:val="1B1C1D"/>
          <w:sz w:val="24"/>
          <w:szCs w:val="24"/>
        </w:rPr>
      </w:pPr>
      <w:r w:rsidRPr="00BB31D7">
        <w:rPr>
          <w:rFonts w:asciiTheme="majorBidi" w:eastAsia="Google Sans" w:hAnsiTheme="majorBidi" w:cstheme="majorBidi"/>
          <w:color w:val="1B1C1D"/>
          <w:sz w:val="24"/>
          <w:szCs w:val="24"/>
        </w:rPr>
        <w:lastRenderedPageBreak/>
        <w:t>Capaian Pembelajaran</w:t>
      </w:r>
    </w:p>
    <w:p w:rsidR="0072017B" w:rsidRPr="00BB31D7" w:rsidRDefault="00BB31D7" w:rsidP="00BB31D7">
      <w:pPr>
        <w:pStyle w:val="Heading3"/>
        <w:spacing w:before="0" w:after="0" w:line="276" w:lineRule="auto"/>
        <w:jc w:val="center"/>
        <w:rPr>
          <w:rFonts w:asciiTheme="majorBidi" w:eastAsia="Google Sans" w:hAnsiTheme="majorBidi" w:cstheme="majorBidi"/>
          <w:b w:val="0"/>
          <w:bCs/>
          <w:color w:val="1B1C1D"/>
          <w:sz w:val="24"/>
          <w:szCs w:val="24"/>
        </w:rPr>
      </w:pPr>
      <w:r w:rsidRPr="00BB31D7">
        <w:rPr>
          <w:rFonts w:asciiTheme="majorBidi" w:eastAsia="Google Sans" w:hAnsiTheme="majorBidi" w:cstheme="majorBidi"/>
          <w:b w:val="0"/>
          <w:bCs/>
          <w:color w:val="1B1C1D"/>
          <w:sz w:val="24"/>
          <w:szCs w:val="24"/>
        </w:rPr>
        <w:t>Fase D (Umumnya untuk Kelas VII, VIII dan IX SMP/MTs/Program Paket B)</w:t>
      </w:r>
    </w:p>
    <w:p w:rsid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72017B" w:rsidRPr="00BB31D7" w:rsidRDefault="00BB31D7" w:rsidP="00BB31D7">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Pada akhir Fase D, murid memiliki kemampuan sebagai berikut:</w:t>
      </w: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Bilangan</w:t>
      </w: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Membaca, menulis, dan membandingkan bilangan bulat, bilangan rasional, bilangan desimal, bilangan berpangkat bulat dan akar, bilangan dalam notasi ilmiah; menerapkan operasi aritmatika pada bilangan real, dan memberikan estimasi/perkiraan dalam menyelesaikan masalah (termasuk berkaitan dengan literasi finansial). Murid dapat menggunakan rasio (skala, proporsi, dan laju perubahan) dalam penyelesaian masalah.</w:t>
      </w:r>
    </w:p>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Aljabar</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Mengenali, memprediksi dan menggeneralisasi pola dalam bentuk susunan benda dan bilangan; Menyatakan suatu situasi ke dalam bentuk aljabar; menggunakan sifat-sifat operasi (komutatif, asosiatif, dan distributif) untuk menghasilkan bentuk aljabar yang ekuivalen. Murid dapat memahami relasi dan fungsi (domain, kodomain, range) serta menyajikannya dalam bentuk diagram panah, tabel, himpunan pasangan berurutan, dan grafik; membedakan beberapa fungsi non linear dari fungsi linear secara grafik; menyelesaikan persamaan dan pertidaksamaan linear satu variabel; menyajikan, menganalisis, dan menyelesaikan masalah dengan menggunakan relasi, fungsi dan persamaan linear; serta menyelesaikan sistem persaman linear dua variabel melalui beberapa cara untuk penyelesaian masalah.</w:t>
      </w:r>
    </w:p>
    <w:p w:rsidR="00BB31D7" w:rsidRDefault="00BB31D7" w:rsidP="00BB31D7">
      <w:pPr>
        <w:pStyle w:val="Heading4"/>
        <w:spacing w:before="0" w:after="0" w:line="276" w:lineRule="auto"/>
        <w:jc w:val="both"/>
        <w:rPr>
          <w:rFonts w:asciiTheme="majorBidi" w:eastAsia="Google Sans" w:hAnsiTheme="majorBidi" w:cstheme="majorBidi"/>
          <w:color w:val="1B1C1D"/>
        </w:rPr>
      </w:pP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Pengukuran</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Menentukan keliling, luas, panjang busur, sudut dan luas juring lingkaran, serta menyelesaikan masalah yang terkait; menjelaskan cara untuk menentukan luas permukaan dan volume bangun ruang (prisma, tabung, bola, limas dan kerucut) dan menyelesaikan masalah yang terkait; dan menjelaskan pengaruh perubahan secara proporsional dari bangun datar dan bangun ruang terhadap ukuran panjang, besar sudut, luas, dan/atau volume.</w:t>
      </w:r>
    </w:p>
    <w:p w:rsidR="00BB31D7" w:rsidRDefault="00BB31D7" w:rsidP="00BB31D7">
      <w:pPr>
        <w:pStyle w:val="Heading4"/>
        <w:spacing w:before="0" w:after="0" w:line="276" w:lineRule="auto"/>
        <w:jc w:val="both"/>
        <w:rPr>
          <w:rFonts w:asciiTheme="majorBidi" w:eastAsia="Google Sans" w:hAnsiTheme="majorBidi" w:cstheme="majorBidi"/>
          <w:color w:val="1B1C1D"/>
        </w:rPr>
      </w:pP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Geometri</w:t>
      </w:r>
    </w:p>
    <w:p w:rsidR="0072017B"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Membuat jaring-jaring bangun ruang (prisma, tabung, limas dan kerucut) dan membuat bangun ruang dari jaring-jaringnya. Murid dapat menggunakan hubungan antar-sudut yang terbentuk oleh dua garis yang berpotongan, dan oleh dua garis sejajar yang dipotong sebuah garis transversal untuk menyelesaikan masalah (termasuk menentukan jumlah besar sudut dalam sebuah segitiga, menentukan besar sudut yang belum diketahui pada sebuah segitiga); menjelaskan sifat-sifat kekongruenan dan kesebangunan pada segitiga dan segiempat, dan menggunakannya untuk menyelesaikan masalah; menunjukkan kebenaran teorema Pythagoras dan menggunakannya dalam menyelesaikan masalah (termasuk pengenalan bilangan irasional dan jarak antara dua titik pada bidang koordinat Kartesius). Murid dapat melakukan transformasi tunggal (refleksi, translasi, rotasi, dan dilatasi) titik, garis, dan </w:t>
      </w:r>
      <w:r w:rsidRPr="00BB31D7">
        <w:rPr>
          <w:rFonts w:asciiTheme="majorBidi" w:eastAsia="Google Sans Text" w:hAnsiTheme="majorBidi" w:cstheme="majorBidi"/>
          <w:color w:val="1B1C1D"/>
          <w:sz w:val="24"/>
          <w:szCs w:val="24"/>
        </w:rPr>
        <w:lastRenderedPageBreak/>
        <w:t>bangun datar pada bidang koordinat Kartesius dan menggunakannya untuk menyelesaikan masalah.</w:t>
      </w:r>
    </w:p>
    <w:p w:rsidR="00BB31D7" w:rsidRDefault="00BB31D7" w:rsidP="00BB31D7">
      <w:pPr>
        <w:pStyle w:val="Heading4"/>
        <w:spacing w:before="0" w:after="0" w:line="276" w:lineRule="auto"/>
        <w:jc w:val="both"/>
        <w:rPr>
          <w:rFonts w:asciiTheme="majorBidi" w:eastAsia="Google Sans" w:hAnsiTheme="majorBidi" w:cstheme="majorBidi"/>
          <w:color w:val="1B1C1D"/>
        </w:rPr>
      </w:pPr>
    </w:p>
    <w:p w:rsidR="0072017B" w:rsidRPr="00BB31D7" w:rsidRDefault="00BB31D7" w:rsidP="00BB31D7">
      <w:pPr>
        <w:pStyle w:val="Heading4"/>
        <w:numPr>
          <w:ilvl w:val="0"/>
          <w:numId w:val="6"/>
        </w:numPr>
        <w:spacing w:before="0" w:after="0" w:line="276" w:lineRule="auto"/>
        <w:jc w:val="both"/>
        <w:rPr>
          <w:rFonts w:asciiTheme="majorBidi" w:eastAsia="Google Sans" w:hAnsiTheme="majorBidi" w:cstheme="majorBidi"/>
          <w:color w:val="1B1C1D"/>
        </w:rPr>
      </w:pPr>
      <w:r w:rsidRPr="00BB31D7">
        <w:rPr>
          <w:rFonts w:asciiTheme="majorBidi" w:eastAsia="Google Sans" w:hAnsiTheme="majorBidi" w:cstheme="majorBidi"/>
          <w:color w:val="1B1C1D"/>
        </w:rPr>
        <w:t>Analisis Data dan Peluang</w:t>
      </w:r>
    </w:p>
    <w:p w:rsidR="0072017B"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Merumuskan pertanyaan, mengumpulkan, menyajikan, dan menganalisis data untuk menjawab pertanyaan dari situasi atau masalah; menggunakan diagram batang dan diagram lingkaran untuk menyajikan dan menginterpretasi data; mengambil sampel yang mewakili suatu populasi untuk mendapatkan data yang terkait dengan diri dan lingkungan mereka; menentukan dan menafsirkan rerata (mean), median, modus, dan jangkauan (range) dari data tersebut untuk menyelesaikan masalah (termasuk membandingkan suatu data terhadap kelompoknya, membandingkan dua kelompok data, memprediksi, membuat keputusan); menyelidiki kemungkinan adanya perubahan pengukuran pusat tersebut akibat perubahan data. Murid dapat menjelaskan dan menggunakan pengertian peluang dan frekuensi relatif untuk menentukan frekuensi harapan satu kejadian pada suatu percobaan sederhana (semua hasil percobaan dapat muncul secara merata).</w:t>
      </w:r>
    </w:p>
    <w:p w:rsid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BB31D7" w:rsidTr="00BB31D7">
        <w:tc>
          <w:tcPr>
            <w:tcW w:w="5437" w:type="dxa"/>
          </w:tcPr>
          <w:p w:rsidR="00BB31D7" w:rsidRDefault="00BB31D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BB31D7" w:rsidRDefault="00BB31D7">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B31D7" w:rsidRDefault="00BB31D7">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BB31D7" w:rsidRDefault="00BB31D7">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BB31D7" w:rsidRDefault="00BB31D7">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BB31D7" w:rsidRDefault="00BB31D7">
            <w:pPr>
              <w:ind w:left="41"/>
              <w:jc w:val="center"/>
              <w:rPr>
                <w:rFonts w:asciiTheme="majorBidi" w:hAnsiTheme="majorBidi" w:cstheme="majorBidi"/>
                <w:bCs/>
                <w:iCs/>
                <w:color w:val="000000"/>
                <w:sz w:val="24"/>
                <w:szCs w:val="24"/>
              </w:rPr>
            </w:pPr>
          </w:p>
          <w:p w:rsidR="00BB31D7" w:rsidRDefault="00BB31D7">
            <w:pPr>
              <w:ind w:left="41"/>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Cs/>
                <w:iCs/>
                <w:color w:val="000000"/>
                <w:sz w:val="24"/>
                <w:szCs w:val="24"/>
                <w:lang w:val="id-ID"/>
              </w:rPr>
            </w:pPr>
          </w:p>
          <w:p w:rsidR="00BB31D7" w:rsidRDefault="00BB31D7">
            <w:pPr>
              <w:ind w:left="41"/>
              <w:jc w:val="center"/>
              <w:rPr>
                <w:rFonts w:asciiTheme="majorBidi" w:hAnsiTheme="majorBidi" w:cstheme="majorBidi"/>
                <w:bCs/>
                <w:iCs/>
                <w:color w:val="000000"/>
                <w:sz w:val="24"/>
                <w:szCs w:val="24"/>
              </w:rPr>
            </w:pPr>
          </w:p>
          <w:p w:rsidR="00BB31D7" w:rsidRDefault="00BB31D7">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BB31D7" w:rsidRDefault="00BB31D7">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BB31D7" w:rsidRDefault="00BB31D7">
            <w:pPr>
              <w:ind w:left="41"/>
              <w:jc w:val="center"/>
              <w:rPr>
                <w:rFonts w:asciiTheme="majorBidi" w:hAnsiTheme="majorBidi" w:cstheme="majorBidi"/>
                <w:bCs/>
                <w:iCs/>
                <w:color w:val="000000"/>
                <w:sz w:val="24"/>
                <w:szCs w:val="24"/>
              </w:rPr>
            </w:pPr>
          </w:p>
        </w:tc>
      </w:tr>
    </w:tbl>
    <w:p w:rsidR="00BB31D7" w:rsidRPr="00BB31D7" w:rsidRDefault="00BB31D7" w:rsidP="00BB31D7">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sectPr w:rsidR="00BB31D7" w:rsidRPr="00BB31D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ACC"/>
    <w:multiLevelType w:val="hybridMultilevel"/>
    <w:tmpl w:val="05389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D37305"/>
    <w:multiLevelType w:val="multilevel"/>
    <w:tmpl w:val="BC14F50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5B5C114B"/>
    <w:multiLevelType w:val="hybridMultilevel"/>
    <w:tmpl w:val="7F06A7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132A04"/>
    <w:multiLevelType w:val="multilevel"/>
    <w:tmpl w:val="1200F78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7BD613D1"/>
    <w:multiLevelType w:val="multilevel"/>
    <w:tmpl w:val="F0DA5DE4"/>
    <w:lvl w:ilvl="0">
      <w:start w:val="2"/>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72017B"/>
    <w:rsid w:val="006F6D79"/>
    <w:rsid w:val="0072017B"/>
    <w:rsid w:val="009F406C"/>
    <w:rsid w:val="00BB31D7"/>
    <w:rsid w:val="00D27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B3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F406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9F406C"/>
    <w:rPr>
      <w:rFonts w:ascii="Tahoma" w:hAnsi="Tahoma" w:cs="Tahoma"/>
      <w:sz w:val="16"/>
      <w:szCs w:val="16"/>
    </w:rPr>
  </w:style>
  <w:style w:type="character" w:customStyle="1" w:styleId="BalloonTextChar">
    <w:name w:val="Balloon Text Char"/>
    <w:basedOn w:val="DefaultParagraphFont"/>
    <w:link w:val="BalloonText"/>
    <w:uiPriority w:val="99"/>
    <w:semiHidden/>
    <w:rsid w:val="009F4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BB31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9F406C"/>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9F406C"/>
    <w:rPr>
      <w:rFonts w:ascii="Tahoma" w:hAnsi="Tahoma" w:cs="Tahoma"/>
      <w:sz w:val="16"/>
      <w:szCs w:val="16"/>
    </w:rPr>
  </w:style>
  <w:style w:type="character" w:customStyle="1" w:styleId="BalloonTextChar">
    <w:name w:val="Balloon Text Char"/>
    <w:basedOn w:val="DefaultParagraphFont"/>
    <w:link w:val="BalloonText"/>
    <w:uiPriority w:val="99"/>
    <w:semiHidden/>
    <w:rsid w:val="009F4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2880">
      <w:bodyDiv w:val="1"/>
      <w:marLeft w:val="0"/>
      <w:marRight w:val="0"/>
      <w:marTop w:val="0"/>
      <w:marBottom w:val="0"/>
      <w:divBdr>
        <w:top w:val="none" w:sz="0" w:space="0" w:color="auto"/>
        <w:left w:val="none" w:sz="0" w:space="0" w:color="auto"/>
        <w:bottom w:val="none" w:sz="0" w:space="0" w:color="auto"/>
        <w:right w:val="none" w:sz="0" w:space="0" w:color="auto"/>
      </w:divBdr>
    </w:div>
    <w:div w:id="648747060">
      <w:bodyDiv w:val="1"/>
      <w:marLeft w:val="0"/>
      <w:marRight w:val="0"/>
      <w:marTop w:val="0"/>
      <w:marBottom w:val="0"/>
      <w:divBdr>
        <w:top w:val="none" w:sz="0" w:space="0" w:color="auto"/>
        <w:left w:val="none" w:sz="0" w:space="0" w:color="auto"/>
        <w:bottom w:val="none" w:sz="0" w:space="0" w:color="auto"/>
        <w:right w:val="none" w:sz="0" w:space="0" w:color="auto"/>
      </w:divBdr>
    </w:div>
    <w:div w:id="1399593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1679</Words>
  <Characters>9575</Characters>
  <Application>Microsoft Office Word</Application>
  <DocSecurity>0</DocSecurity>
  <Lines>79</Lines>
  <Paragraphs>22</Paragraphs>
  <ScaleCrop>false</ScaleCrop>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2025-07-23T02:08:00Z</dcterms:created>
  <dcterms:modified xsi:type="dcterms:W3CDTF">2025-07-24T08:10:00Z</dcterms:modified>
</cp:coreProperties>
</file>